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3491C" w14:textId="388AAEB5" w:rsidR="00553AA4" w:rsidRPr="00DB69D8" w:rsidRDefault="00553AA4" w:rsidP="004874EB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92734C">
        <w:rPr>
          <w:rFonts w:ascii="Arial" w:hAnsi="Arial" w:cs="Arial"/>
          <w:sz w:val="18"/>
          <w:szCs w:val="20"/>
        </w:rPr>
        <w:t>1</w:t>
      </w:r>
      <w:r w:rsidR="0018229E">
        <w:rPr>
          <w:rFonts w:ascii="Arial" w:hAnsi="Arial" w:cs="Arial"/>
          <w:sz w:val="18"/>
          <w:szCs w:val="20"/>
        </w:rPr>
        <w:t>6</w:t>
      </w:r>
      <w:r w:rsidR="0019161C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92734C">
        <w:rPr>
          <w:rFonts w:ascii="Arial" w:hAnsi="Arial" w:cs="Arial"/>
          <w:sz w:val="18"/>
          <w:szCs w:val="20"/>
        </w:rPr>
        <w:t>3</w:t>
      </w:r>
      <w:r w:rsidR="00C247C4" w:rsidRPr="00C247C4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5388D">
        <w:rPr>
          <w:rFonts w:ascii="Arial" w:hAnsi="Arial" w:cs="Arial"/>
          <w:sz w:val="18"/>
          <w:szCs w:val="20"/>
        </w:rPr>
        <w:t>2</w:t>
      </w:r>
      <w:r w:rsidR="0092734C">
        <w:rPr>
          <w:rFonts w:ascii="Arial" w:hAnsi="Arial" w:cs="Arial"/>
          <w:sz w:val="18"/>
          <w:szCs w:val="20"/>
        </w:rPr>
        <w:t>1</w:t>
      </w:r>
    </w:p>
    <w:p w14:paraId="7B787822" w14:textId="461417DE" w:rsidR="00553AA4" w:rsidRPr="00DB69D8" w:rsidRDefault="00553AA4" w:rsidP="008A06C4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15388D">
        <w:rPr>
          <w:rFonts w:ascii="Arial" w:hAnsi="Arial" w:cs="Arial"/>
          <w:b/>
          <w:sz w:val="20"/>
          <w:u w:val="single"/>
        </w:rPr>
        <w:t>na</w:t>
      </w:r>
      <w:r w:rsidR="00F71B4C">
        <w:rPr>
          <w:rFonts w:ascii="Arial" w:hAnsi="Arial" w:cs="Arial"/>
          <w:b/>
          <w:sz w:val="20"/>
          <w:u w:val="single"/>
        </w:rPr>
        <w:t>dlimitní</w:t>
      </w:r>
      <w:r w:rsidR="00F67611">
        <w:rPr>
          <w:rFonts w:ascii="Arial" w:hAnsi="Arial" w:cs="Arial"/>
          <w:b/>
          <w:sz w:val="20"/>
          <w:u w:val="single"/>
        </w:rPr>
        <w:t xml:space="preserve"> veřejné zakázky</w:t>
      </w:r>
      <w:r w:rsidR="00E25BD0">
        <w:rPr>
          <w:rFonts w:ascii="Arial" w:hAnsi="Arial" w:cs="Arial"/>
          <w:b/>
          <w:sz w:val="20"/>
          <w:u w:val="single"/>
        </w:rPr>
        <w:t xml:space="preserve"> 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na </w:t>
      </w:r>
      <w:r w:rsidR="0015388D">
        <w:rPr>
          <w:rFonts w:ascii="Arial" w:hAnsi="Arial" w:cs="Arial"/>
          <w:b/>
          <w:sz w:val="20"/>
          <w:u w:val="single"/>
        </w:rPr>
        <w:t>dodávky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92734C" w:rsidRPr="0092734C">
        <w:rPr>
          <w:rFonts w:ascii="Arial" w:hAnsi="Arial" w:cs="Arial"/>
          <w:b/>
          <w:sz w:val="20"/>
          <w:u w:val="single"/>
        </w:rPr>
        <w:t>„V 00467 – Doplnění technologie čistění OV v ČOV TPCA – 2. etapa – nové vyhlášení“</w:t>
      </w:r>
      <w:r w:rsidR="007E5FB5">
        <w:rPr>
          <w:rFonts w:ascii="Arial" w:hAnsi="Arial" w:cs="Arial"/>
          <w:b/>
          <w:bCs/>
        </w:rPr>
        <w:t xml:space="preserve"> </w:t>
      </w:r>
      <w:r w:rsidR="008D4003" w:rsidRPr="008D400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984F24" w:rsidRPr="00984F24">
        <w:rPr>
          <w:rFonts w:ascii="Arial" w:hAnsi="Arial" w:cs="Arial"/>
          <w:b/>
          <w:sz w:val="20"/>
        </w:rPr>
        <w:t xml:space="preserve">  </w:t>
      </w:r>
    </w:p>
    <w:p w14:paraId="57A59CB2" w14:textId="77777777" w:rsidR="00553AA4" w:rsidRPr="00F2402C" w:rsidRDefault="00553AA4" w:rsidP="00511DC1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07794BAF" w14:textId="022B3E0F" w:rsidR="00553AA4" w:rsidRDefault="00553AA4" w:rsidP="00511DC1">
      <w:pPr>
        <w:spacing w:before="120" w:line="300" w:lineRule="auto"/>
        <w:jc w:val="both"/>
        <w:rPr>
          <w:rFonts w:ascii="Arial" w:hAnsi="Arial" w:cs="Arial"/>
          <w:sz w:val="20"/>
        </w:rPr>
      </w:pPr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7E5FB5">
        <w:rPr>
          <w:rFonts w:ascii="Arial" w:hAnsi="Arial" w:cs="Arial"/>
          <w:b/>
          <w:bCs/>
          <w:sz w:val="20"/>
          <w:szCs w:val="20"/>
        </w:rPr>
        <w:t>Město Kolín</w:t>
      </w:r>
      <w:r w:rsidR="00577B51" w:rsidRPr="00577B51">
        <w:rPr>
          <w:rFonts w:ascii="Arial" w:hAnsi="Arial" w:cs="Arial"/>
          <w:sz w:val="20"/>
          <w:szCs w:val="20"/>
        </w:rPr>
        <w:t xml:space="preserve">, </w:t>
      </w:r>
      <w:r w:rsidR="007E5FB5">
        <w:rPr>
          <w:rFonts w:ascii="Arial" w:hAnsi="Arial" w:cs="Arial"/>
          <w:bCs/>
          <w:sz w:val="20"/>
        </w:rPr>
        <w:t>Karlovo náměstí 78, 280 12 Kolín I</w:t>
      </w:r>
      <w:r w:rsidR="00577B51" w:rsidRPr="00577B51">
        <w:rPr>
          <w:rFonts w:ascii="Arial" w:hAnsi="Arial" w:cs="Arial"/>
          <w:sz w:val="20"/>
          <w:szCs w:val="20"/>
        </w:rPr>
        <w:t>, IČ</w:t>
      </w:r>
      <w:r w:rsidR="00577B51">
        <w:rPr>
          <w:rFonts w:ascii="Arial" w:hAnsi="Arial" w:cs="Arial"/>
          <w:sz w:val="20"/>
          <w:szCs w:val="20"/>
        </w:rPr>
        <w:t>O</w:t>
      </w:r>
      <w:r w:rsidR="00577B51" w:rsidRPr="00577B51">
        <w:rPr>
          <w:rFonts w:ascii="Arial" w:hAnsi="Arial" w:cs="Arial"/>
          <w:sz w:val="20"/>
          <w:szCs w:val="20"/>
        </w:rPr>
        <w:t xml:space="preserve">: </w:t>
      </w:r>
      <w:r w:rsidR="007E5FB5">
        <w:rPr>
          <w:rFonts w:ascii="Arial" w:hAnsi="Arial" w:cs="Arial"/>
          <w:bCs/>
          <w:sz w:val="20"/>
        </w:rPr>
        <w:t xml:space="preserve">00235440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18229E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511DC1">
        <w:rPr>
          <w:rFonts w:ascii="Arial" w:hAnsi="Arial" w:cs="Arial"/>
          <w:b/>
          <w:sz w:val="20"/>
          <w:szCs w:val="20"/>
          <w:u w:val="single"/>
        </w:rPr>
        <w:t xml:space="preserve">řízení </w:t>
      </w:r>
      <w:r w:rsidR="00D818E2">
        <w:rPr>
          <w:rFonts w:ascii="Arial" w:hAnsi="Arial" w:cs="Arial"/>
          <w:b/>
          <w:sz w:val="20"/>
          <w:szCs w:val="20"/>
          <w:u w:val="single"/>
        </w:rPr>
        <w:t xml:space="preserve">u </w:t>
      </w:r>
      <w:r w:rsidR="0015388D">
        <w:rPr>
          <w:rFonts w:ascii="Arial" w:hAnsi="Arial" w:cs="Arial"/>
          <w:b/>
          <w:sz w:val="20"/>
          <w:szCs w:val="20"/>
          <w:u w:val="single"/>
        </w:rPr>
        <w:t>na</w:t>
      </w:r>
      <w:r w:rsidR="00F71B4C">
        <w:rPr>
          <w:rFonts w:ascii="Arial" w:hAnsi="Arial" w:cs="Arial"/>
          <w:b/>
          <w:sz w:val="20"/>
          <w:szCs w:val="20"/>
          <w:u w:val="single"/>
        </w:rPr>
        <w:t xml:space="preserve">dlimitní </w:t>
      </w:r>
      <w:r w:rsidR="00D818E2">
        <w:rPr>
          <w:rFonts w:ascii="Arial" w:hAnsi="Arial" w:cs="Arial"/>
          <w:b/>
          <w:sz w:val="20"/>
          <w:szCs w:val="20"/>
          <w:u w:val="single"/>
        </w:rPr>
        <w:t>veřejné zakázky</w:t>
      </w:r>
      <w:r w:rsidR="00E25BD0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na </w:t>
      </w:r>
      <w:r w:rsidR="0015388D">
        <w:rPr>
          <w:rFonts w:ascii="Arial" w:hAnsi="Arial" w:cs="Arial"/>
          <w:b/>
          <w:sz w:val="20"/>
          <w:u w:val="single"/>
        </w:rPr>
        <w:t>dodávky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</w:t>
      </w:r>
      <w:r w:rsidR="008D4003" w:rsidRPr="007E5FB5">
        <w:rPr>
          <w:rFonts w:ascii="Arial" w:hAnsi="Arial" w:cs="Arial"/>
          <w:b/>
          <w:sz w:val="20"/>
          <w:szCs w:val="20"/>
          <w:u w:val="single"/>
        </w:rPr>
        <w:t xml:space="preserve">názvem </w:t>
      </w:r>
      <w:r w:rsidR="0092734C" w:rsidRPr="0092734C">
        <w:rPr>
          <w:rFonts w:ascii="Arial" w:hAnsi="Arial" w:cs="Arial"/>
          <w:b/>
          <w:sz w:val="20"/>
          <w:szCs w:val="20"/>
          <w:u w:val="single"/>
        </w:rPr>
        <w:t>„V 00467 – Doplnění technologie čistění OV v ČOV TPCA – 2. etapa – nové vyhlášení“</w:t>
      </w:r>
      <w:r w:rsidR="0015388D" w:rsidRPr="0015388D">
        <w:rPr>
          <w:rFonts w:ascii="Arial" w:hAnsi="Arial" w:cs="Arial"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v</w:t>
      </w:r>
      <w:r w:rsidR="0015388D">
        <w:rPr>
          <w:rFonts w:ascii="Arial" w:hAnsi="Arial" w:cs="Arial"/>
          <w:sz w:val="20"/>
          <w:szCs w:val="20"/>
        </w:rPr>
        <w:t> otevřeném na</w:t>
      </w:r>
      <w:r w:rsidR="008C12D0">
        <w:rPr>
          <w:rFonts w:ascii="Arial" w:hAnsi="Arial" w:cs="Arial"/>
          <w:sz w:val="20"/>
          <w:szCs w:val="20"/>
        </w:rPr>
        <w:t>d</w:t>
      </w:r>
      <w:r w:rsidR="00EA15EE">
        <w:rPr>
          <w:rFonts w:ascii="Arial" w:hAnsi="Arial" w:cs="Arial"/>
          <w:sz w:val="20"/>
          <w:szCs w:val="20"/>
        </w:rPr>
        <w:t>limitním</w:t>
      </w:r>
      <w:r w:rsidR="00DB28B1">
        <w:rPr>
          <w:rFonts w:ascii="Arial" w:hAnsi="Arial" w:cs="Arial"/>
          <w:sz w:val="20"/>
          <w:szCs w:val="20"/>
        </w:rPr>
        <w:t xml:space="preserve"> </w:t>
      </w:r>
      <w:r w:rsidR="00511DC1" w:rsidRPr="003A1755">
        <w:rPr>
          <w:rFonts w:ascii="Arial" w:hAnsi="Arial" w:cs="Arial"/>
          <w:sz w:val="20"/>
          <w:szCs w:val="20"/>
        </w:rPr>
        <w:t xml:space="preserve">řízení </w:t>
      </w:r>
      <w:r w:rsidR="00F71B4C">
        <w:rPr>
          <w:rFonts w:ascii="Arial" w:hAnsi="Arial" w:cs="Arial"/>
          <w:sz w:val="20"/>
          <w:szCs w:val="20"/>
        </w:rPr>
        <w:t xml:space="preserve">dle </w:t>
      </w:r>
      <w:r w:rsidR="00227871">
        <w:rPr>
          <w:rFonts w:ascii="Arial" w:hAnsi="Arial" w:cs="Arial"/>
          <w:sz w:val="20"/>
          <w:szCs w:val="20"/>
        </w:rPr>
        <w:t>§ 5</w:t>
      </w:r>
      <w:r w:rsidR="0015388D">
        <w:rPr>
          <w:rFonts w:ascii="Arial" w:hAnsi="Arial" w:cs="Arial"/>
          <w:sz w:val="20"/>
          <w:szCs w:val="20"/>
        </w:rPr>
        <w:t>6</w:t>
      </w:r>
      <w:r w:rsidR="00F71B4C" w:rsidRPr="00424C00">
        <w:rPr>
          <w:rFonts w:ascii="Arial" w:hAnsi="Arial" w:cs="Arial"/>
          <w:sz w:val="20"/>
          <w:szCs w:val="20"/>
        </w:rPr>
        <w:t xml:space="preserve"> zákona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 xml:space="preserve">. </w:t>
      </w:r>
    </w:p>
    <w:p w14:paraId="075B6F45" w14:textId="52C0A73E" w:rsidR="0018229E" w:rsidRDefault="0018229E" w:rsidP="00D023A1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0902A0A3" w14:textId="35825A9C" w:rsidR="0018229E" w:rsidRDefault="005611EB" w:rsidP="00D023A1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Od jakého výrobce-dodavatele je systém SCADA?</w:t>
      </w:r>
    </w:p>
    <w:p w14:paraId="5BDEABA1" w14:textId="7BC1FDA6" w:rsidR="0018229E" w:rsidRDefault="0018229E" w:rsidP="00D023A1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5C2CB773" w14:textId="68585899" w:rsidR="0018229E" w:rsidRDefault="005611EB" w:rsidP="00D023A1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5611EB">
        <w:rPr>
          <w:rFonts w:ascii="Arial" w:hAnsi="Arial" w:cs="Arial"/>
          <w:bCs/>
          <w:i/>
          <w:sz w:val="20"/>
          <w:szCs w:val="20"/>
        </w:rPr>
        <w:t>Dodavatelem díla v roce 2004 byla fy Rockwell. Zdrojový software pro SCADA je tedy u fy Rockwell a také by ho měl mít provozovatel ČOV či investor.</w:t>
      </w:r>
    </w:p>
    <w:p w14:paraId="577DCE09" w14:textId="10560E0F" w:rsidR="0018229E" w:rsidRDefault="0018229E" w:rsidP="00D023A1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234A48B" w14:textId="7D4B7729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2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38990E09" w14:textId="4DBC7D57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V článku TZ se píše o doplněných I/O jednotek v rozváděči DT2. Není zřejmé, zda mají být doplněny a součástí které položky výkazu by měly být.</w:t>
      </w:r>
    </w:p>
    <w:p w14:paraId="62BC492F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6C507FB7" w14:textId="3BDAACFC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5611EB">
        <w:rPr>
          <w:rFonts w:ascii="Arial" w:hAnsi="Arial" w:cs="Arial"/>
          <w:bCs/>
          <w:i/>
          <w:sz w:val="20"/>
          <w:szCs w:val="20"/>
        </w:rPr>
        <w:t>Žádné další karty pro I/O obvody není třeba dodávat, adresy se připojí na stávající rezervní místa na již fyzicky existujících kartách – viz výstřižky z TZ a TS:</w:t>
      </w:r>
    </w:p>
    <w:p w14:paraId="4F2B13FE" w14:textId="625E4AF4" w:rsidR="005611EB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noProof/>
        </w:rPr>
        <w:drawing>
          <wp:inline distT="0" distB="0" distL="0" distR="0" wp14:anchorId="566E5864" wp14:editId="6CCDB51C">
            <wp:extent cx="4058366" cy="461391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286" cy="4674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0820B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0C9D5DC" w14:textId="252078FA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3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4A1E280C" w14:textId="306E8BF0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Pro úpravy software v PLC, operátorských panelech a vizualizaci (SCADA) jsme nenalezli položky pro nacenění. Pokud skutečně nejsou, pak součástí kterých by měly být?</w:t>
      </w:r>
    </w:p>
    <w:p w14:paraId="01F32702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682C389D" w14:textId="545CFCEC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5611EB">
        <w:rPr>
          <w:rFonts w:ascii="Arial" w:hAnsi="Arial" w:cs="Arial"/>
          <w:bCs/>
          <w:i/>
          <w:sz w:val="20"/>
          <w:szCs w:val="20"/>
        </w:rPr>
        <w:t>Položky pro úpravu software v PLC, operátorských panelech a vizualizaci (SCADA) byli naceněny v rámci 1. etapy.</w:t>
      </w: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Pr="005611EB">
        <w:rPr>
          <w:rFonts w:ascii="Arial" w:hAnsi="Arial" w:cs="Arial"/>
          <w:bCs/>
          <w:i/>
          <w:sz w:val="20"/>
          <w:szCs w:val="20"/>
        </w:rPr>
        <w:t>V rámci 2. etapy bude provedeno v rámci komplexních zkoušek tzv. softwarové odladění pro vizualizace a oba PLC.</w:t>
      </w:r>
    </w:p>
    <w:p w14:paraId="0384C46B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176FFE23" w14:textId="17EB3508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4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3E754035" w14:textId="2263314D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Podmínkou případné realizace je poskytnutí zdrojového programu PLC a operátorských panelů.</w:t>
      </w:r>
    </w:p>
    <w:p w14:paraId="332D13A3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63571AA5" w14:textId="2B28F259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5611EB">
        <w:rPr>
          <w:rFonts w:ascii="Arial" w:hAnsi="Arial" w:cs="Arial"/>
          <w:bCs/>
          <w:i/>
          <w:sz w:val="20"/>
          <w:szCs w:val="20"/>
        </w:rPr>
        <w:t>Zdrojový program PLC a operátorské panely poskytn</w:t>
      </w:r>
      <w:r>
        <w:rPr>
          <w:rFonts w:ascii="Arial" w:hAnsi="Arial" w:cs="Arial"/>
          <w:bCs/>
          <w:i/>
          <w:sz w:val="20"/>
          <w:szCs w:val="20"/>
        </w:rPr>
        <w:t>e</w:t>
      </w:r>
      <w:r w:rsidRPr="005611EB">
        <w:rPr>
          <w:rFonts w:ascii="Arial" w:hAnsi="Arial" w:cs="Arial"/>
          <w:bCs/>
          <w:i/>
          <w:sz w:val="20"/>
          <w:szCs w:val="20"/>
        </w:rPr>
        <w:t xml:space="preserve"> provozovatel.</w:t>
      </w:r>
    </w:p>
    <w:p w14:paraId="1FA62241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37CEA2F" w14:textId="7925003E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5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2A30ED5C" w14:textId="646A404B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V SO01.2a je v položkách 1 a 2 popsána zkouška vodotěsnosti nádrže. Je nutné tuto zkoušku provádět, když je tato nádrž v provozu a v rámci rekonstrukce se nepředpokládá zásah do její konstrukce.</w:t>
      </w:r>
    </w:p>
    <w:p w14:paraId="320EA58F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76F22F32" w14:textId="7A87930E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5611EB">
        <w:rPr>
          <w:rFonts w:ascii="Arial" w:hAnsi="Arial" w:cs="Arial"/>
          <w:bCs/>
          <w:i/>
          <w:sz w:val="20"/>
          <w:szCs w:val="20"/>
        </w:rPr>
        <w:t>Zkoušku vodotěsnosti nádrže není nutné provádět, protože se nezasahuje do obvodových zdí konstrukce nádrže.</w:t>
      </w:r>
    </w:p>
    <w:p w14:paraId="44097F9C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B71539F" w14:textId="3047B386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6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27977DF1" w14:textId="77777777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Zadavatel uvádí ve výkazu výměr „11-7102-02-05b_DPS - ČOV TPCA - PD techn. čištění OV - 2.etapa [zadání].xlsx“, který je součástí zadávací dokumentace k výše uvedené veřejné zakázce následující: </w:t>
      </w:r>
    </w:p>
    <w:p w14:paraId="6F2EA07E" w14:textId="77777777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/>
          <w:iCs/>
          <w:sz w:val="20"/>
          <w:szCs w:val="20"/>
        </w:rPr>
      </w:pPr>
      <w:r w:rsidRPr="005611EB">
        <w:rPr>
          <w:rFonts w:ascii="Arial" w:hAnsi="Arial" w:cs="Arial"/>
          <w:bCs/>
          <w:i/>
          <w:iCs/>
          <w:sz w:val="20"/>
          <w:szCs w:val="20"/>
        </w:rPr>
        <w:t>SO 01.2a – Úprava aktivačních nádrží - 2. etapa- variantní řešení – společní práce</w:t>
      </w:r>
    </w:p>
    <w:p w14:paraId="6ACFE919" w14:textId="7B882BC8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2DA17F25" wp14:editId="14903684">
            <wp:simplePos x="0" y="0"/>
            <wp:positionH relativeFrom="column">
              <wp:posOffset>-137160</wp:posOffset>
            </wp:positionH>
            <wp:positionV relativeFrom="paragraph">
              <wp:posOffset>224155</wp:posOffset>
            </wp:positionV>
            <wp:extent cx="5760720" cy="1297305"/>
            <wp:effectExtent l="0" t="0" r="0" b="0"/>
            <wp:wrapTight wrapText="bothSides">
              <wp:wrapPolygon edited="0">
                <wp:start x="0" y="0"/>
                <wp:lineTo x="0" y="21251"/>
                <wp:lineTo x="21500" y="21251"/>
                <wp:lineTo x="21500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7682" b="42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97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11EB">
        <w:rPr>
          <w:rFonts w:ascii="Arial" w:hAnsi="Arial" w:cs="Arial"/>
          <w:bCs/>
          <w:i/>
          <w:iCs/>
          <w:sz w:val="20"/>
          <w:szCs w:val="20"/>
        </w:rPr>
        <w:t>Ostatní konstrukce a práce, bourání</w:t>
      </w:r>
    </w:p>
    <w:p w14:paraId="05A1CD56" w14:textId="12FB7B47" w:rsidR="0018229E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Položky č. 3 a 4 dle podrobného popisu zahrnují vyčištění nádrží před předáním stavby do užívání a dle počítaného množství se jedná o vyčištění jedné poloviny nádrže. Z našich zkušeností bude nutné stěny a podlahu nádrže před zahájením výstavby nutné očistit tlakovou vodou.</w:t>
      </w:r>
    </w:p>
    <w:p w14:paraId="54B502F9" w14:textId="234EBAD8" w:rsidR="005611EB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Zajistí čištění nádrže před zahájením prací investor?</w:t>
      </w:r>
    </w:p>
    <w:p w14:paraId="2B4F162A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5901E045" w14:textId="77777777" w:rsidR="003D1D67" w:rsidRPr="003D1D67" w:rsidRDefault="003D1D67" w:rsidP="003D1D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Pol.č.3 a 4 – Tato položka zahrnuje vyčištění objektu před zahájením rekonstrukce spočívající např. v zametení prostorů a následném umytí konstrukcí např. zábradlí před předáním stavby do užívání (viz poznámka 1).</w:t>
      </w:r>
    </w:p>
    <w:p w14:paraId="3805A0B7" w14:textId="77777777" w:rsidR="003D1D67" w:rsidRPr="003D1D67" w:rsidRDefault="003D1D67" w:rsidP="003D1D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Vyčištění objektů se provádí vždy jen jednou a to před zahájením samotné rekonstrukce či sanace nádrže. Po rekonstrukci či sanaci (ztuhnutí sanační směsi) se nádrž napustí a spustí do provozu. Případné nečistoty se zametou a z nádrže odstraní, před zahájením napouštění nádrže. Nádrž není nutné čistit tlakovou vodou. Dle sdělení provozovatele je v současné době nádrž určená k rekonstrukci odstavená z provozu a tedy byla i vyčištěna. Investor žádné práce ohledně vyčištění nádrží nezajišťuje.</w:t>
      </w:r>
    </w:p>
    <w:p w14:paraId="14120C66" w14:textId="4E9C6AEA" w:rsidR="0018229E" w:rsidRDefault="003D1D67" w:rsidP="003D1D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Plocha 150 m2 odpovídá celé 1 biologické lince – rozměr biologické linky je 7,5 x 20, 0 m což je 150 m2. Jedná se o dostavbu 2. biologické linky. První biologická linka již zrekonstruovaná byla.</w:t>
      </w:r>
    </w:p>
    <w:p w14:paraId="61BE7709" w14:textId="721120EA" w:rsidR="003D1D67" w:rsidRDefault="003D1D67" w:rsidP="003D1D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 xml:space="preserve">Nádrž je v současné době odstavena z provozu a byla vyčištěna provozovatelem. </w:t>
      </w:r>
      <w:r>
        <w:rPr>
          <w:rFonts w:ascii="Arial" w:hAnsi="Arial" w:cs="Arial"/>
          <w:bCs/>
          <w:i/>
          <w:sz w:val="20"/>
          <w:szCs w:val="20"/>
        </w:rPr>
        <w:t>Č</w:t>
      </w:r>
      <w:r w:rsidRPr="003D1D67">
        <w:rPr>
          <w:rFonts w:ascii="Arial" w:hAnsi="Arial" w:cs="Arial"/>
          <w:bCs/>
          <w:i/>
          <w:sz w:val="20"/>
          <w:szCs w:val="20"/>
        </w:rPr>
        <w:t>ištění nádrže je v kompetenci zhotovitele stavby, viz položky 3 a 4 uvedené výše.</w:t>
      </w:r>
    </w:p>
    <w:p w14:paraId="13724EF1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34B3BA2" w14:textId="3AC184D0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7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183B85A7" w14:textId="21D5AC64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Zajistí očištění stěn a podlahy nádrže tlakovou vodou investor?</w:t>
      </w:r>
    </w:p>
    <w:p w14:paraId="3E831C4D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46E19E7F" w14:textId="496DD196" w:rsidR="0018229E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Případné očištění stěn a dna nádrže je kalkulované v položce 3 a 4 uvedené výše a postačí případně lokální oplach wapkou, které provádí zhotovitel stavby.</w:t>
      </w:r>
    </w:p>
    <w:p w14:paraId="588A56E3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E3419C1" w14:textId="2E328833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8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4ACFBF6C" w14:textId="77777777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/>
          <w:iCs/>
          <w:sz w:val="20"/>
          <w:szCs w:val="20"/>
        </w:rPr>
      </w:pPr>
      <w:r w:rsidRPr="005611EB">
        <w:rPr>
          <w:rFonts w:ascii="Arial" w:hAnsi="Arial" w:cs="Arial"/>
          <w:bCs/>
          <w:i/>
          <w:iCs/>
          <w:sz w:val="20"/>
          <w:szCs w:val="20"/>
        </w:rPr>
        <w:t>SO 01.2a – Úprava aktivačních nádrží - 2. etapa- variantní řešení – společní práce</w:t>
      </w:r>
    </w:p>
    <w:p w14:paraId="1EEF74FE" w14:textId="68312DD0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5E06ED70" wp14:editId="4C8A1414">
            <wp:simplePos x="0" y="0"/>
            <wp:positionH relativeFrom="column">
              <wp:posOffset>-383540</wp:posOffset>
            </wp:positionH>
            <wp:positionV relativeFrom="paragraph">
              <wp:posOffset>243205</wp:posOffset>
            </wp:positionV>
            <wp:extent cx="5760720" cy="979805"/>
            <wp:effectExtent l="0" t="0" r="0" b="0"/>
            <wp:wrapTight wrapText="bothSides">
              <wp:wrapPolygon edited="0">
                <wp:start x="0" y="0"/>
                <wp:lineTo x="0" y="20998"/>
                <wp:lineTo x="21500" y="20998"/>
                <wp:lineTo x="21500" y="0"/>
                <wp:lineTo x="0" y="0"/>
              </wp:wrapPolygon>
            </wp:wrapTight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79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11EB">
        <w:rPr>
          <w:rFonts w:ascii="Arial" w:hAnsi="Arial" w:cs="Arial"/>
          <w:bCs/>
          <w:i/>
          <w:iCs/>
          <w:sz w:val="20"/>
          <w:szCs w:val="20"/>
        </w:rPr>
        <w:t>Ostatní konstrukce a práce, bourání</w:t>
      </w:r>
    </w:p>
    <w:p w14:paraId="6367F72F" w14:textId="77777777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Cs/>
          <w:sz w:val="20"/>
          <w:szCs w:val="20"/>
        </w:rPr>
      </w:pPr>
    </w:p>
    <w:p w14:paraId="3FCCF268" w14:textId="511D6758" w:rsidR="0018229E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V položce č. 5 je započítán vodorovný přesun bahna do 10 m.</w:t>
      </w:r>
    </w:p>
    <w:p w14:paraId="70127135" w14:textId="618EE910" w:rsidR="005611EB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Žádáme o doplnění položky pro ocenění svislého přemístění při vyklízení bahna.</w:t>
      </w:r>
    </w:p>
    <w:p w14:paraId="347C4BD6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1F76123B" w14:textId="17046FDB" w:rsidR="0018229E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Svislý přesun je již započítán v položce č. 5   v pozn. 2 - tl. nánosu usazenin 0,100 m a naložení usazenin na dopravní prostředek – viz poznámka 1. k souboru cen pod položkou.</w:t>
      </w:r>
    </w:p>
    <w:p w14:paraId="0FA631D6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75D28E65" w14:textId="7DC4270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 xml:space="preserve">Dotaz </w:t>
      </w:r>
      <w:r>
        <w:rPr>
          <w:rFonts w:ascii="Arial" w:hAnsi="Arial" w:cs="Arial"/>
          <w:b/>
          <w:iCs/>
          <w:sz w:val="20"/>
          <w:szCs w:val="20"/>
          <w:u w:val="single"/>
        </w:rPr>
        <w:t>9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29ADA69D" w14:textId="00959FB8" w:rsidR="0018229E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Likvidace bahna z hromady ve vzdálenosti do 10 m od aktivační nádrže bude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5611EB">
        <w:rPr>
          <w:rFonts w:ascii="Arial" w:hAnsi="Arial" w:cs="Arial"/>
          <w:bCs/>
          <w:iCs/>
          <w:sz w:val="20"/>
          <w:szCs w:val="20"/>
        </w:rPr>
        <w:t>zajištěna investorem?</w:t>
      </w:r>
    </w:p>
    <w:p w14:paraId="05DD9A7F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217CBC3A" w14:textId="3BF0DEF5" w:rsidR="0018229E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Položka doplněna</w:t>
      </w:r>
      <w:r>
        <w:rPr>
          <w:rFonts w:ascii="Arial" w:hAnsi="Arial" w:cs="Arial"/>
          <w:bCs/>
          <w:i/>
          <w:sz w:val="20"/>
          <w:szCs w:val="20"/>
        </w:rPr>
        <w:t xml:space="preserve"> do výkazu výměr: p</w:t>
      </w:r>
      <w:r w:rsidRPr="003D1D67">
        <w:rPr>
          <w:rFonts w:ascii="Arial" w:hAnsi="Arial" w:cs="Arial"/>
          <w:bCs/>
          <w:i/>
          <w:sz w:val="20"/>
          <w:szCs w:val="20"/>
        </w:rPr>
        <w:t>oplatek za uložení na skládku nebezpečného odpadu – pol. 7 Přesun sutě SO 01.2a.</w:t>
      </w:r>
    </w:p>
    <w:p w14:paraId="494DB87D" w14:textId="25CCAE4B" w:rsidR="0018229E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Opravený výkaz výměr je přílohou tohoto vysvětlení zadávací dokumentace a účastníci jej závazně použijí při přípravě své nabídky.</w:t>
      </w:r>
    </w:p>
    <w:p w14:paraId="38473928" w14:textId="77777777" w:rsidR="003D1D67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5AB6ED3" w14:textId="639FE730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</w:t>
      </w:r>
      <w:r>
        <w:rPr>
          <w:rFonts w:ascii="Arial" w:hAnsi="Arial" w:cs="Arial"/>
          <w:b/>
          <w:iCs/>
          <w:sz w:val="20"/>
          <w:szCs w:val="20"/>
          <w:u w:val="single"/>
        </w:rPr>
        <w:t>0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0708152C" w14:textId="77777777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/>
          <w:iCs/>
          <w:sz w:val="20"/>
          <w:szCs w:val="20"/>
        </w:rPr>
      </w:pPr>
      <w:r w:rsidRPr="005611EB">
        <w:rPr>
          <w:rFonts w:ascii="Arial" w:hAnsi="Arial" w:cs="Arial"/>
          <w:bCs/>
          <w:i/>
          <w:iCs/>
          <w:sz w:val="20"/>
          <w:szCs w:val="20"/>
        </w:rPr>
        <w:t>PS 01.2 - Strojně technologická část - 2. etapa</w:t>
      </w:r>
    </w:p>
    <w:p w14:paraId="5C20E1D2" w14:textId="48215BCE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12133C97" wp14:editId="3E546E89">
            <wp:simplePos x="0" y="0"/>
            <wp:positionH relativeFrom="column">
              <wp:posOffset>-261620</wp:posOffset>
            </wp:positionH>
            <wp:positionV relativeFrom="paragraph">
              <wp:posOffset>258445</wp:posOffset>
            </wp:positionV>
            <wp:extent cx="5760720" cy="764540"/>
            <wp:effectExtent l="0" t="0" r="0" b="0"/>
            <wp:wrapTight wrapText="bothSides">
              <wp:wrapPolygon edited="0">
                <wp:start x="0" y="0"/>
                <wp:lineTo x="0" y="20990"/>
                <wp:lineTo x="21500" y="20990"/>
                <wp:lineTo x="21500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4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11EB">
        <w:rPr>
          <w:rFonts w:ascii="Arial" w:hAnsi="Arial" w:cs="Arial"/>
          <w:bCs/>
          <w:i/>
          <w:iCs/>
          <w:sz w:val="20"/>
          <w:szCs w:val="20"/>
        </w:rPr>
        <w:t>Stroje a zařízení</w:t>
      </w:r>
    </w:p>
    <w:p w14:paraId="74840EE7" w14:textId="77777777" w:rsidR="005611EB" w:rsidRPr="005611EB" w:rsidRDefault="005611EB" w:rsidP="005611EB">
      <w:pPr>
        <w:pStyle w:val="Default"/>
        <w:spacing w:line="300" w:lineRule="auto"/>
        <w:rPr>
          <w:rFonts w:ascii="Arial" w:hAnsi="Arial" w:cs="Arial"/>
          <w:bCs/>
          <w:iCs/>
          <w:sz w:val="20"/>
          <w:szCs w:val="20"/>
        </w:rPr>
      </w:pPr>
    </w:p>
    <w:p w14:paraId="5CC75F34" w14:textId="442354E6" w:rsidR="0018229E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Před realizací nového aeračního systému je třeba nádrž vyprázdnit a vyčistit. V projektové dokumentaci není vyřešeno odstavení nádrže regenerace z provozu.</w:t>
      </w:r>
    </w:p>
    <w:p w14:paraId="1A7CC237" w14:textId="54D44F48" w:rsidR="005611EB" w:rsidRDefault="005611EB" w:rsidP="005611E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t>Žádáme o doplnění položek k vyklizení a čištění regenerační nádrže před zahájením prací.</w:t>
      </w:r>
    </w:p>
    <w:p w14:paraId="679C43D3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7B9DF7AB" w14:textId="77777777" w:rsidR="003D1D67" w:rsidRPr="003D1D67" w:rsidRDefault="003D1D67" w:rsidP="003D1D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Vyprázdnění a vyčištění regenerační nádrže provádí obvykle provozovatel. O vyprázdnění a vyčištění nádrže regenerace je nutné provozovatele informovat s dostatečným časovým předstihem a lze provést až po provedení bypassu.</w:t>
      </w:r>
    </w:p>
    <w:p w14:paraId="70E2F21B" w14:textId="777B60DB" w:rsidR="0018229E" w:rsidRDefault="003D1D67" w:rsidP="003D1D67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 xml:space="preserve">Do </w:t>
      </w:r>
      <w:r>
        <w:rPr>
          <w:rFonts w:ascii="Arial" w:hAnsi="Arial" w:cs="Arial"/>
          <w:bCs/>
          <w:i/>
          <w:sz w:val="20"/>
          <w:szCs w:val="20"/>
        </w:rPr>
        <w:t>výkazu výměr</w:t>
      </w:r>
      <w:r w:rsidRPr="003D1D67">
        <w:rPr>
          <w:rFonts w:ascii="Arial" w:hAnsi="Arial" w:cs="Arial"/>
          <w:bCs/>
          <w:i/>
          <w:sz w:val="20"/>
          <w:szCs w:val="20"/>
        </w:rPr>
        <w:t xml:space="preserve"> PS 01.2 je doplněná položka na krátkodobé přepojení vratného kalu pomocí plastového potrubí po dobu odstavení nádrže regenerace z provozu a doplněna položka na vyčištění objektu regeneraci stejně pro aktivační nádrže.</w:t>
      </w:r>
    </w:p>
    <w:p w14:paraId="4D6EEAB2" w14:textId="1D2E4F82" w:rsidR="0018229E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Opravený výkaz výměr je přílohou tohoto vysvětlení zadávací dokumentace a účastníci jej závazně použijí při přípravě své nabídky.</w:t>
      </w:r>
    </w:p>
    <w:p w14:paraId="14ACF543" w14:textId="77777777" w:rsidR="003D1D67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332E964A" w14:textId="02867ECB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</w:t>
      </w:r>
      <w:r w:rsidR="005611EB">
        <w:rPr>
          <w:rFonts w:ascii="Arial" w:hAnsi="Arial" w:cs="Arial"/>
          <w:b/>
          <w:iCs/>
          <w:sz w:val="20"/>
          <w:szCs w:val="20"/>
          <w:u w:val="single"/>
        </w:rPr>
        <w:t>1</w:t>
      </w:r>
      <w:r>
        <w:rPr>
          <w:rFonts w:ascii="Arial" w:hAnsi="Arial" w:cs="Arial"/>
          <w:b/>
          <w:iCs/>
          <w:sz w:val="20"/>
          <w:szCs w:val="20"/>
          <w:u w:val="single"/>
        </w:rPr>
        <w:t>:</w:t>
      </w:r>
    </w:p>
    <w:p w14:paraId="1D4876BE" w14:textId="369B6535" w:rsidR="0018229E" w:rsidRDefault="005611EB" w:rsidP="0018229E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611EB">
        <w:rPr>
          <w:rFonts w:ascii="Arial" w:hAnsi="Arial" w:cs="Arial"/>
          <w:bCs/>
          <w:iCs/>
          <w:sz w:val="20"/>
          <w:szCs w:val="20"/>
        </w:rPr>
        <w:lastRenderedPageBreak/>
        <w:t>Jak bude řešeno odstavení nádrže regenerace z provozu pro vyčištění a montáž technologie?</w:t>
      </w:r>
    </w:p>
    <w:p w14:paraId="0000130C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1DE7536E" w14:textId="36163CD8" w:rsidR="0018229E" w:rsidRDefault="003D1D67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3D1D67">
        <w:rPr>
          <w:rFonts w:ascii="Arial" w:hAnsi="Arial" w:cs="Arial"/>
          <w:bCs/>
          <w:i/>
          <w:sz w:val="20"/>
          <w:szCs w:val="20"/>
        </w:rPr>
        <w:t>Po rekonstrukci aktivační nádrže AN II bude tato nádrž uvedena do provozu společně s aktivační nádrží AN I. Na potrubí vratného kalu natékajícího do regenerační nádrže bude proveden bypass a vratný kal se potrubím propojí krátkodobě do kašnového přelivu v prostoru selektoru. Bypassové potrubí bude DN 300 (ekonomicky vhodné je PVC), které jde napojit na stávající přírubu nerezového potrubí vratného kalu u paty svislé stěny regenerační nádrže. Odstávka regenerační nádrže se předpokládá cca na 1 - 2 týdny.</w:t>
      </w:r>
    </w:p>
    <w:p w14:paraId="4E7872E9" w14:textId="77777777" w:rsidR="0018229E" w:rsidRDefault="0018229E" w:rsidP="0018229E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7E7970D" w14:textId="4FF86585" w:rsidR="00D023A1" w:rsidRDefault="0092734C" w:rsidP="00D023A1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Vysvětlení zadávací dokumentace</w:t>
      </w:r>
      <w:r w:rsidR="00D023A1">
        <w:rPr>
          <w:rFonts w:ascii="Arial" w:hAnsi="Arial" w:cs="Arial"/>
          <w:b/>
          <w:i/>
          <w:sz w:val="20"/>
          <w:szCs w:val="20"/>
          <w:u w:val="single"/>
        </w:rPr>
        <w:t>:</w:t>
      </w:r>
    </w:p>
    <w:p w14:paraId="78667211" w14:textId="73BB93F6" w:rsidR="003D1D67" w:rsidRDefault="003D1D67" w:rsidP="003D1D67">
      <w:pPr>
        <w:pStyle w:val="Default"/>
        <w:spacing w:line="300" w:lineRule="auto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Zadavatel na základě výše uvedeného vysvětlení zadávací dokumentace upravuje dle </w:t>
      </w:r>
      <w:r>
        <w:rPr>
          <w:rFonts w:ascii="Arial" w:hAnsi="Arial" w:cs="Arial"/>
          <w:i/>
          <w:sz w:val="20"/>
          <w:szCs w:val="20"/>
        </w:rPr>
        <w:t xml:space="preserve">§ 98 odst. 4 a § </w:t>
      </w:r>
      <w:r>
        <w:rPr>
          <w:rFonts w:ascii="Arial" w:hAnsi="Arial" w:cs="Arial"/>
          <w:i/>
          <w:sz w:val="20"/>
          <w:szCs w:val="20"/>
        </w:rPr>
        <w:t>99 odst. 2 ZZVZ lhůtu pro podání nabídek a otevírání obálek následovně:</w:t>
      </w:r>
    </w:p>
    <w:p w14:paraId="18CAC01E" w14:textId="77777777" w:rsidR="00D023A1" w:rsidRDefault="00D023A1" w:rsidP="00D023A1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353907CE" w14:textId="77777777" w:rsidR="00D023A1" w:rsidRDefault="00D023A1" w:rsidP="00D023A1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Lhůta pro podání nabídek</w:t>
      </w:r>
    </w:p>
    <w:p w14:paraId="534323E0" w14:textId="0FD615D8" w:rsidR="0092734C" w:rsidRPr="0092734C" w:rsidRDefault="0092734C" w:rsidP="0092734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30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</w:pPr>
      <w:bookmarkStart w:id="0" w:name="_Hlk523932469"/>
      <w:r w:rsidRPr="0092734C"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  <w:t xml:space="preserve">Lhůta pro podání nabídek končí dne </w:t>
      </w:r>
      <w:r w:rsidR="005611EB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25</w:t>
      </w:r>
      <w:r w:rsidRPr="0092734C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 xml:space="preserve">. 3. 2021 v 10:00 hod. </w:t>
      </w:r>
    </w:p>
    <w:p w14:paraId="51C4219D" w14:textId="77777777" w:rsidR="0092734C" w:rsidRPr="0092734C" w:rsidRDefault="0092734C" w:rsidP="0092734C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30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</w:pPr>
      <w:r w:rsidRPr="0092734C"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  <w:t xml:space="preserve">Nabídky se podle § 107 odst. 1 zákona podávají písemně v českém jazyce, a to v elektronické podobě </w:t>
      </w:r>
      <w:r w:rsidRPr="0092734C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 xml:space="preserve">výhradně prostřednictvím elektronického </w:t>
      </w:r>
      <w:r w:rsidRPr="009273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 xml:space="preserve">E-ZAK </w:t>
      </w:r>
      <w:r w:rsidRPr="0092734C"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  <w:t xml:space="preserve">na adrese </w:t>
      </w:r>
      <w:bookmarkStart w:id="1" w:name="_Hlk524097864"/>
      <w:r w:rsidRPr="0092734C">
        <w:rPr>
          <w:rFonts w:ascii="Arial" w:eastAsia="Times New Roman" w:hAnsi="Arial" w:cs="Arial"/>
          <w:i/>
          <w:iCs/>
          <w:color w:val="0000FF"/>
          <w:sz w:val="20"/>
          <w:szCs w:val="20"/>
          <w:u w:val="single"/>
          <w:lang w:eastAsia="cs-CZ"/>
        </w:rPr>
        <w:t>https://zakazky.mukolin.cz/</w:t>
      </w:r>
      <w:r w:rsidRPr="0092734C">
        <w:rPr>
          <w:rFonts w:ascii="Arial" w:eastAsia="Times New Roman" w:hAnsi="Arial" w:cs="Arial"/>
          <w:bCs/>
          <w:i/>
          <w:iCs/>
          <w:sz w:val="20"/>
          <w:szCs w:val="20"/>
          <w:lang w:eastAsia="cs-CZ"/>
        </w:rPr>
        <w:t xml:space="preserve"> </w:t>
      </w:r>
      <w:bookmarkEnd w:id="0"/>
      <w:bookmarkEnd w:id="1"/>
    </w:p>
    <w:p w14:paraId="52069177" w14:textId="77777777" w:rsidR="00D023A1" w:rsidRPr="0092734C" w:rsidRDefault="00D023A1" w:rsidP="00AE3B07">
      <w:pPr>
        <w:pStyle w:val="Default"/>
        <w:spacing w:line="30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61076A9B" w14:textId="77777777" w:rsidR="00F71DCC" w:rsidRPr="00DB69D8" w:rsidRDefault="00F71DCC" w:rsidP="00511DC1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13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7491971E" w14:textId="77777777" w:rsidR="00F71DCC" w:rsidRPr="00DB69D8" w:rsidRDefault="00F71DCC" w:rsidP="004874EB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2" w:name="_MailAutoSig"/>
    </w:p>
    <w:bookmarkEnd w:id="2"/>
    <w:p w14:paraId="105F5FCC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35EADF5D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0E87CCDA" w14:textId="77777777" w:rsidR="00511DC1" w:rsidRPr="00511DC1" w:rsidRDefault="00511DC1" w:rsidP="00511DC1">
      <w:pPr>
        <w:spacing w:after="0" w:line="240" w:lineRule="auto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mobil: 732 837 223</w:t>
      </w:r>
    </w:p>
    <w:p w14:paraId="0ACA876A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16B9942C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68762B55" w14:textId="77777777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04B91B1B" w14:textId="77777777" w:rsidR="0092734C" w:rsidRDefault="0092734C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1869436F" w14:textId="517EB380" w:rsidR="00511DC1" w:rsidRPr="00511DC1" w:rsidRDefault="00511DC1" w:rsidP="00511DC1">
      <w:pPr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194CADDA" w14:textId="77777777" w:rsidR="00F71DCC" w:rsidRPr="00F71DCC" w:rsidRDefault="00511DC1" w:rsidP="00511DC1">
      <w:pPr>
        <w:spacing w:after="0" w:line="240" w:lineRule="auto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2C238F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B2F7C09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64456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72D02671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725C2"/>
    <w:multiLevelType w:val="hybridMultilevel"/>
    <w:tmpl w:val="F280D4BA"/>
    <w:lvl w:ilvl="0" w:tplc="DEF2A75E">
      <w:start w:val="1"/>
      <w:numFmt w:val="decimal"/>
      <w:pStyle w:val="Nadpis2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5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3"/>
  </w:num>
  <w:num w:numId="4">
    <w:abstractNumId w:val="7"/>
  </w:num>
  <w:num w:numId="5">
    <w:abstractNumId w:val="16"/>
  </w:num>
  <w:num w:numId="6">
    <w:abstractNumId w:val="4"/>
  </w:num>
  <w:num w:numId="7">
    <w:abstractNumId w:val="14"/>
  </w:num>
  <w:num w:numId="8">
    <w:abstractNumId w:val="25"/>
  </w:num>
  <w:num w:numId="9">
    <w:abstractNumId w:val="0"/>
  </w:num>
  <w:num w:numId="10">
    <w:abstractNumId w:val="21"/>
  </w:num>
  <w:num w:numId="11">
    <w:abstractNumId w:val="1"/>
  </w:num>
  <w:num w:numId="12">
    <w:abstractNumId w:val="15"/>
  </w:num>
  <w:num w:numId="13">
    <w:abstractNumId w:val="27"/>
  </w:num>
  <w:num w:numId="14">
    <w:abstractNumId w:val="13"/>
  </w:num>
  <w:num w:numId="15">
    <w:abstractNumId w:val="6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12"/>
  </w:num>
  <w:num w:numId="22">
    <w:abstractNumId w:val="17"/>
  </w:num>
  <w:num w:numId="23">
    <w:abstractNumId w:val="11"/>
  </w:num>
  <w:num w:numId="24">
    <w:abstractNumId w:val="3"/>
  </w:num>
  <w:num w:numId="25">
    <w:abstractNumId w:val="22"/>
  </w:num>
  <w:num w:numId="26">
    <w:abstractNumId w:val="20"/>
  </w:num>
  <w:num w:numId="27">
    <w:abstractNumId w:val="9"/>
  </w:num>
  <w:num w:numId="28">
    <w:abstractNumId w:val="18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5123C"/>
    <w:rsid w:val="00060CD3"/>
    <w:rsid w:val="00071C86"/>
    <w:rsid w:val="0008454A"/>
    <w:rsid w:val="00084AC4"/>
    <w:rsid w:val="00093760"/>
    <w:rsid w:val="000D480B"/>
    <w:rsid w:val="001023ED"/>
    <w:rsid w:val="00102B3F"/>
    <w:rsid w:val="0012226C"/>
    <w:rsid w:val="00122A93"/>
    <w:rsid w:val="001422AA"/>
    <w:rsid w:val="00150D19"/>
    <w:rsid w:val="0015388D"/>
    <w:rsid w:val="00167DEC"/>
    <w:rsid w:val="0018229E"/>
    <w:rsid w:val="0019161C"/>
    <w:rsid w:val="001E45EA"/>
    <w:rsid w:val="001E5F68"/>
    <w:rsid w:val="002025A9"/>
    <w:rsid w:val="002045CD"/>
    <w:rsid w:val="00227871"/>
    <w:rsid w:val="002302FA"/>
    <w:rsid w:val="00230897"/>
    <w:rsid w:val="002315EF"/>
    <w:rsid w:val="002330BC"/>
    <w:rsid w:val="002467D0"/>
    <w:rsid w:val="00267A30"/>
    <w:rsid w:val="002768CE"/>
    <w:rsid w:val="002819F2"/>
    <w:rsid w:val="002948D8"/>
    <w:rsid w:val="002B4812"/>
    <w:rsid w:val="002B7B6B"/>
    <w:rsid w:val="002C1D01"/>
    <w:rsid w:val="002D5978"/>
    <w:rsid w:val="002D626C"/>
    <w:rsid w:val="002E2FCD"/>
    <w:rsid w:val="002E7D86"/>
    <w:rsid w:val="003005E2"/>
    <w:rsid w:val="00313BEA"/>
    <w:rsid w:val="00360305"/>
    <w:rsid w:val="003B5CF8"/>
    <w:rsid w:val="003D1D67"/>
    <w:rsid w:val="0041223A"/>
    <w:rsid w:val="00424C00"/>
    <w:rsid w:val="004525D2"/>
    <w:rsid w:val="00477D4C"/>
    <w:rsid w:val="004874EB"/>
    <w:rsid w:val="00491048"/>
    <w:rsid w:val="004A1D4D"/>
    <w:rsid w:val="004A45C2"/>
    <w:rsid w:val="004A4F62"/>
    <w:rsid w:val="004B2D5E"/>
    <w:rsid w:val="004B3BBE"/>
    <w:rsid w:val="004B5D93"/>
    <w:rsid w:val="004D3B7A"/>
    <w:rsid w:val="004F32F7"/>
    <w:rsid w:val="00511DC1"/>
    <w:rsid w:val="00537CAE"/>
    <w:rsid w:val="00553AA4"/>
    <w:rsid w:val="005611EB"/>
    <w:rsid w:val="00563C1B"/>
    <w:rsid w:val="00571B5B"/>
    <w:rsid w:val="00575C80"/>
    <w:rsid w:val="00577B51"/>
    <w:rsid w:val="00584531"/>
    <w:rsid w:val="00592B02"/>
    <w:rsid w:val="00593E94"/>
    <w:rsid w:val="00595C81"/>
    <w:rsid w:val="005C24CC"/>
    <w:rsid w:val="005C432D"/>
    <w:rsid w:val="005E054C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C782B"/>
    <w:rsid w:val="006D29AA"/>
    <w:rsid w:val="006D3DBD"/>
    <w:rsid w:val="00704D0E"/>
    <w:rsid w:val="00706BE5"/>
    <w:rsid w:val="007101AD"/>
    <w:rsid w:val="00715E9E"/>
    <w:rsid w:val="007207D8"/>
    <w:rsid w:val="00724F3B"/>
    <w:rsid w:val="007471C2"/>
    <w:rsid w:val="00770876"/>
    <w:rsid w:val="007714DF"/>
    <w:rsid w:val="007A5EDB"/>
    <w:rsid w:val="007D2C1A"/>
    <w:rsid w:val="007E347F"/>
    <w:rsid w:val="007E5FB5"/>
    <w:rsid w:val="00811536"/>
    <w:rsid w:val="00815D73"/>
    <w:rsid w:val="00817B50"/>
    <w:rsid w:val="00826B80"/>
    <w:rsid w:val="00836CC9"/>
    <w:rsid w:val="008444E7"/>
    <w:rsid w:val="00896EF0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91198D"/>
    <w:rsid w:val="0092734C"/>
    <w:rsid w:val="00927AC1"/>
    <w:rsid w:val="0095015C"/>
    <w:rsid w:val="00955A9C"/>
    <w:rsid w:val="009739F9"/>
    <w:rsid w:val="00984F24"/>
    <w:rsid w:val="009A724C"/>
    <w:rsid w:val="009B6D22"/>
    <w:rsid w:val="009B76A3"/>
    <w:rsid w:val="00A06663"/>
    <w:rsid w:val="00A10186"/>
    <w:rsid w:val="00A2082C"/>
    <w:rsid w:val="00A254FD"/>
    <w:rsid w:val="00A41039"/>
    <w:rsid w:val="00A43682"/>
    <w:rsid w:val="00A552B1"/>
    <w:rsid w:val="00A55696"/>
    <w:rsid w:val="00A6500B"/>
    <w:rsid w:val="00A73F20"/>
    <w:rsid w:val="00A96634"/>
    <w:rsid w:val="00AB7950"/>
    <w:rsid w:val="00AC5E04"/>
    <w:rsid w:val="00AC628B"/>
    <w:rsid w:val="00AD2932"/>
    <w:rsid w:val="00AD6EDE"/>
    <w:rsid w:val="00AE3B07"/>
    <w:rsid w:val="00B004FD"/>
    <w:rsid w:val="00B05F4D"/>
    <w:rsid w:val="00B16D0E"/>
    <w:rsid w:val="00B203DB"/>
    <w:rsid w:val="00B34361"/>
    <w:rsid w:val="00B5163B"/>
    <w:rsid w:val="00B634F5"/>
    <w:rsid w:val="00BA576F"/>
    <w:rsid w:val="00BB6FCE"/>
    <w:rsid w:val="00BB7D0F"/>
    <w:rsid w:val="00BC779A"/>
    <w:rsid w:val="00BD06C2"/>
    <w:rsid w:val="00BD7BDA"/>
    <w:rsid w:val="00C02893"/>
    <w:rsid w:val="00C0681F"/>
    <w:rsid w:val="00C12922"/>
    <w:rsid w:val="00C23C7B"/>
    <w:rsid w:val="00C247C4"/>
    <w:rsid w:val="00C37E0E"/>
    <w:rsid w:val="00C402E2"/>
    <w:rsid w:val="00C534AD"/>
    <w:rsid w:val="00C63922"/>
    <w:rsid w:val="00C7131A"/>
    <w:rsid w:val="00C81905"/>
    <w:rsid w:val="00C8616D"/>
    <w:rsid w:val="00C87BA5"/>
    <w:rsid w:val="00CA17BD"/>
    <w:rsid w:val="00CA1B48"/>
    <w:rsid w:val="00CC1284"/>
    <w:rsid w:val="00CC7AC7"/>
    <w:rsid w:val="00CD7749"/>
    <w:rsid w:val="00D023A1"/>
    <w:rsid w:val="00D12F19"/>
    <w:rsid w:val="00D5030C"/>
    <w:rsid w:val="00D535BD"/>
    <w:rsid w:val="00D602FE"/>
    <w:rsid w:val="00D818E2"/>
    <w:rsid w:val="00DB10E3"/>
    <w:rsid w:val="00DB28B1"/>
    <w:rsid w:val="00DD653A"/>
    <w:rsid w:val="00DE2738"/>
    <w:rsid w:val="00DF39E7"/>
    <w:rsid w:val="00E005FC"/>
    <w:rsid w:val="00E1113C"/>
    <w:rsid w:val="00E168E4"/>
    <w:rsid w:val="00E1761C"/>
    <w:rsid w:val="00E24CD5"/>
    <w:rsid w:val="00E25BD0"/>
    <w:rsid w:val="00E75BCA"/>
    <w:rsid w:val="00E77EC6"/>
    <w:rsid w:val="00E93F08"/>
    <w:rsid w:val="00EA15EE"/>
    <w:rsid w:val="00EA5042"/>
    <w:rsid w:val="00EA6AA9"/>
    <w:rsid w:val="00ED1BA8"/>
    <w:rsid w:val="00EE1D6E"/>
    <w:rsid w:val="00F15B6A"/>
    <w:rsid w:val="00F2402C"/>
    <w:rsid w:val="00F3105B"/>
    <w:rsid w:val="00F35FFC"/>
    <w:rsid w:val="00F41641"/>
    <w:rsid w:val="00F6312B"/>
    <w:rsid w:val="00F67611"/>
    <w:rsid w:val="00F6785D"/>
    <w:rsid w:val="00F71B4C"/>
    <w:rsid w:val="00F71DCC"/>
    <w:rsid w:val="00F71FA6"/>
    <w:rsid w:val="00F7357C"/>
    <w:rsid w:val="00FB3607"/>
    <w:rsid w:val="00FC3B97"/>
    <w:rsid w:val="00FE0461"/>
    <w:rsid w:val="00FE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52E693"/>
  <w15:docId w15:val="{922FBF86-5EA7-420E-A69A-AAA6AFD3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D06C2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FE0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numPr>
        <w:numId w:val="27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E04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233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cid:image002.png@01D7197D.A2A41E30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577BC0-8B57-421F-AEE1-137DF65CF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1085</Words>
  <Characters>6406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Ladislav Kavřík</cp:lastModifiedBy>
  <cp:revision>8</cp:revision>
  <cp:lastPrinted>2013-07-09T05:46:00Z</cp:lastPrinted>
  <dcterms:created xsi:type="dcterms:W3CDTF">2019-12-05T11:01:00Z</dcterms:created>
  <dcterms:modified xsi:type="dcterms:W3CDTF">2021-03-16T09:53:00Z</dcterms:modified>
</cp:coreProperties>
</file>